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Presentation Outline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1. The structure of the Bible creates a narrative of a younger sibling’s dominion over the elder: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rtl w:val="0"/>
        </w:rPr>
        <w:t xml:space="preserve">Abel’s &gt; Cain’s →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f4cccc" w:val="clear"/>
          <w:rtl w:val="0"/>
        </w:rPr>
        <w:t xml:space="preserve">bloodshed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rtl w:val="0"/>
        </w:rPr>
        <w:t xml:space="preserve">Isaac &gt; Ishmael →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fce5cd" w:val="clear"/>
          <w:rtl w:val="0"/>
        </w:rPr>
        <w:t xml:space="preserve">banishment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rtl w:val="0"/>
        </w:rPr>
        <w:t xml:space="preserve">Jacob &gt; →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fff2cc" w:val="clear"/>
          <w:rtl w:val="0"/>
        </w:rPr>
        <w:t xml:space="preserve">deceit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, threat of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f4cccc" w:val="clear"/>
          <w:rtl w:val="0"/>
        </w:rPr>
        <w:t xml:space="preserve">bloodshed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then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d9ead3" w:val="clear"/>
          <w:rtl w:val="0"/>
        </w:rPr>
        <w:t xml:space="preserve">reconciliation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rtl w:val="0"/>
        </w:rPr>
        <w:t xml:space="preserve">Joseph &gt; the other children →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fff2cc" w:val="clear"/>
          <w:rtl w:val="0"/>
        </w:rPr>
        <w:t xml:space="preserve">deceit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c9daf8" w:val="clear"/>
          <w:rtl w:val="0"/>
        </w:rPr>
        <w:t xml:space="preserve">betrayal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, then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d9ead3" w:val="clear"/>
          <w:rtl w:val="0"/>
        </w:rPr>
        <w:t xml:space="preserve">reconciliation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rtl w:val="0"/>
        </w:rPr>
        <w:t xml:space="preserve">Moses &gt; Aaron + Miriam →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shd w:fill="d9d2e9" w:val="clear"/>
          <w:rtl w:val="0"/>
        </w:rPr>
        <w:t xml:space="preserve">a relationship that is actually good from the start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One sibling, the youngest or one of the youngest, is clearly more important than the others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2. Though Aaron enjoys a very high position, it comes with an equally high amount of responsibility than Aaron just isn’t equipped for: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God chooses him as at Moses’ request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Aaron wasn’t originally assigned the role of priest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His use of his staff differs from Moses’. It’s much more passive</w:t>
        <w:br w:type="textWrapping"/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3. Aaron did not deserve entry to the promised land, but not for Moses’ transgression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Golden Calf Incident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Aaron directly breaks one of God’s statutes: Do not worship or cast false idols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Lies about it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Aaron is a very “normal” man compared to Moses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It is Moses who strikes the rock twice</w:t>
      </w:r>
    </w:p>
    <w:sectPr>
      <w:headerReference r:id="rId6" w:type="default"/>
      <w:headerReference r:id="rId7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  <w:t xml:space="preserve">Erykah Ooi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